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B2" w:rsidRDefault="00F17EB2" w:rsidP="00F17EB2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Expériences et formes de recours aux dispositifs de compensation du handicap </w:t>
      </w:r>
      <w:r w:rsidR="00A1493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dans les universités Françaises</w:t>
      </w:r>
    </w:p>
    <w:p w:rsidR="00E10078" w:rsidRPr="007D12D9" w:rsidRDefault="00A14938">
      <w:pPr>
        <w:rPr>
          <w:rFonts w:ascii="Times New Roman" w:hAnsi="Times New Roman" w:cs="Times New Roman"/>
          <w:sz w:val="24"/>
          <w:szCs w:val="24"/>
        </w:rPr>
      </w:pPr>
      <w:r w:rsidRPr="00337301">
        <w:rPr>
          <w:rFonts w:ascii="Times New Roman" w:hAnsi="Times New Roman" w:cs="Times New Roman"/>
          <w:sz w:val="20"/>
          <w:szCs w:val="24"/>
        </w:rPr>
        <w:t>N. Le Roux</w:t>
      </w:r>
      <w:r>
        <w:rPr>
          <w:rFonts w:ascii="Times New Roman" w:hAnsi="Times New Roman" w:cs="Times New Roman"/>
          <w:sz w:val="20"/>
          <w:szCs w:val="24"/>
        </w:rPr>
        <w:t>,</w:t>
      </w:r>
      <w:r w:rsidRPr="00337301">
        <w:rPr>
          <w:rFonts w:ascii="Times New Roman" w:hAnsi="Times New Roman" w:cs="Times New Roman"/>
          <w:sz w:val="20"/>
          <w:szCs w:val="24"/>
        </w:rPr>
        <w:t xml:space="preserve"> </w:t>
      </w:r>
      <w:r w:rsidR="00725172" w:rsidRPr="00337301">
        <w:rPr>
          <w:rFonts w:ascii="Times New Roman" w:hAnsi="Times New Roman" w:cs="Times New Roman"/>
          <w:sz w:val="20"/>
          <w:szCs w:val="24"/>
        </w:rPr>
        <w:t xml:space="preserve">M. </w:t>
      </w:r>
      <w:proofErr w:type="spellStart"/>
      <w:r w:rsidR="00725172" w:rsidRPr="00337301">
        <w:rPr>
          <w:rFonts w:ascii="Times New Roman" w:hAnsi="Times New Roman" w:cs="Times New Roman"/>
          <w:sz w:val="20"/>
          <w:szCs w:val="24"/>
        </w:rPr>
        <w:t>Segon</w:t>
      </w:r>
      <w:proofErr w:type="spellEnd"/>
      <w:r w:rsidR="00725172" w:rsidRPr="00337301">
        <w:rPr>
          <w:rFonts w:ascii="Times New Roman" w:hAnsi="Times New Roman" w:cs="Times New Roman"/>
          <w:sz w:val="20"/>
          <w:szCs w:val="24"/>
        </w:rPr>
        <w:t xml:space="preserve">, </w:t>
      </w:r>
      <w:r w:rsidR="007D12D9" w:rsidRPr="00337301">
        <w:rPr>
          <w:rFonts w:ascii="Times New Roman" w:hAnsi="Times New Roman" w:cs="Times New Roman"/>
          <w:sz w:val="20"/>
          <w:szCs w:val="24"/>
        </w:rPr>
        <w:t xml:space="preserve">L. </w:t>
      </w:r>
      <w:proofErr w:type="spellStart"/>
      <w:r w:rsidR="007D12D9" w:rsidRPr="00337301">
        <w:rPr>
          <w:rFonts w:ascii="Times New Roman" w:hAnsi="Times New Roman" w:cs="Times New Roman"/>
          <w:sz w:val="20"/>
          <w:szCs w:val="24"/>
        </w:rPr>
        <w:t>Brisset</w:t>
      </w:r>
      <w:proofErr w:type="spellEnd"/>
    </w:p>
    <w:p w:rsidR="00C336DD" w:rsidRDefault="00C336DD" w:rsidP="007251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</w:t>
      </w:r>
      <w:r w:rsidR="004165E1">
        <w:rPr>
          <w:rFonts w:ascii="Times New Roman" w:hAnsi="Times New Roman" w:cs="Times New Roman"/>
          <w:sz w:val="24"/>
          <w:szCs w:val="24"/>
        </w:rPr>
        <w:t xml:space="preserve"> travail </w:t>
      </w:r>
      <w:r>
        <w:rPr>
          <w:rFonts w:ascii="Times New Roman" w:hAnsi="Times New Roman" w:cs="Times New Roman"/>
          <w:sz w:val="24"/>
          <w:szCs w:val="24"/>
        </w:rPr>
        <w:t xml:space="preserve">s’intègre dans un programme de recherche portant sur </w:t>
      </w:r>
      <w:r w:rsidR="00EB7F60">
        <w:rPr>
          <w:rFonts w:ascii="Times New Roman" w:hAnsi="Times New Roman" w:cs="Times New Roman"/>
          <w:sz w:val="24"/>
          <w:szCs w:val="24"/>
        </w:rPr>
        <w:t>les dilemmes et enjeux éthiques liés</w:t>
      </w:r>
      <w:r w:rsidR="00EB7F60">
        <w:rPr>
          <w:rFonts w:ascii="Times New Roman" w:hAnsi="Times New Roman" w:cs="Times New Roman"/>
          <w:sz w:val="24"/>
          <w:szCs w:val="24"/>
        </w:rPr>
        <w:t xml:space="preserve"> à la</w:t>
      </w:r>
      <w:r>
        <w:rPr>
          <w:rFonts w:ascii="Times New Roman" w:hAnsi="Times New Roman" w:cs="Times New Roman"/>
          <w:sz w:val="24"/>
          <w:szCs w:val="24"/>
        </w:rPr>
        <w:t xml:space="preserve"> mise en œuvre des politiques publiques en direction d’une catégorie </w:t>
      </w:r>
      <w:r w:rsidR="00EB7F60">
        <w:rPr>
          <w:rFonts w:ascii="Times New Roman" w:hAnsi="Times New Roman" w:cs="Times New Roman"/>
          <w:sz w:val="24"/>
          <w:szCs w:val="24"/>
        </w:rPr>
        <w:t>d’usagers</w:t>
      </w:r>
      <w:r>
        <w:rPr>
          <w:rFonts w:ascii="Times New Roman" w:hAnsi="Times New Roman" w:cs="Times New Roman"/>
          <w:sz w:val="24"/>
          <w:szCs w:val="24"/>
        </w:rPr>
        <w:t xml:space="preserve">: les « étudiants handicapés ». Il s’agit, dans une perspective de comparaison internationale (France-Québec), </w:t>
      </w:r>
      <w:r w:rsidR="00EB7F60">
        <w:rPr>
          <w:rFonts w:ascii="Times New Roman" w:hAnsi="Times New Roman" w:cs="Times New Roman"/>
          <w:sz w:val="24"/>
          <w:szCs w:val="24"/>
        </w:rPr>
        <w:t xml:space="preserve">de s’intéresser notamment au traitement de </w:t>
      </w:r>
      <w:r>
        <w:rPr>
          <w:rFonts w:ascii="Times New Roman" w:hAnsi="Times New Roman" w:cs="Times New Roman"/>
          <w:sz w:val="24"/>
          <w:szCs w:val="24"/>
        </w:rPr>
        <w:t>catégories de bénéficiaires qualifiés, par les acteurs des universités, d’« émergeants » et/ou ayant un handicap dit « invisible »</w:t>
      </w:r>
      <w:r w:rsidR="00F12458">
        <w:rPr>
          <w:rStyle w:val="Appelnotedebasdep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254EE" w:rsidRDefault="00C336DD" w:rsidP="007251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Cette communication </w:t>
      </w:r>
      <w:r w:rsidR="00EB7F60">
        <w:rPr>
          <w:rFonts w:ascii="Times New Roman" w:hAnsi="Times New Roman" w:cs="Times New Roman"/>
          <w:sz w:val="24"/>
          <w:szCs w:val="24"/>
        </w:rPr>
        <w:t xml:space="preserve">a pour objet </w:t>
      </w:r>
      <w:r w:rsidR="00725172" w:rsidRPr="00065F46">
        <w:rPr>
          <w:rFonts w:ascii="Times New Roman" w:hAnsi="Times New Roman" w:cs="Times New Roman"/>
          <w:sz w:val="24"/>
          <w:szCs w:val="24"/>
        </w:rPr>
        <w:t xml:space="preserve">la réception </w:t>
      </w:r>
      <w:r w:rsidR="00C90DC6" w:rsidRPr="00065F46">
        <w:rPr>
          <w:rFonts w:ascii="Times New Roman" w:hAnsi="Times New Roman" w:cs="Times New Roman"/>
          <w:sz w:val="24"/>
          <w:szCs w:val="24"/>
        </w:rPr>
        <w:t xml:space="preserve">des </w:t>
      </w:r>
      <w:r w:rsidR="00034DA7">
        <w:rPr>
          <w:rFonts w:ascii="Times New Roman" w:hAnsi="Times New Roman" w:cs="Times New Roman"/>
          <w:sz w:val="24"/>
          <w:szCs w:val="24"/>
        </w:rPr>
        <w:t xml:space="preserve">dispositifs concrets </w:t>
      </w:r>
      <w:r w:rsidR="004C4FD4">
        <w:rPr>
          <w:rFonts w:ascii="Times New Roman" w:hAnsi="Times New Roman" w:cs="Times New Roman"/>
          <w:sz w:val="24"/>
          <w:szCs w:val="24"/>
        </w:rPr>
        <w:t xml:space="preserve">(Foucault, 1978) </w:t>
      </w:r>
      <w:r>
        <w:rPr>
          <w:rFonts w:ascii="Times New Roman" w:hAnsi="Times New Roman" w:cs="Times New Roman"/>
          <w:sz w:val="24"/>
          <w:szCs w:val="24"/>
        </w:rPr>
        <w:t>par les étudiants concernés</w:t>
      </w:r>
      <w:r w:rsidR="00FF66AF" w:rsidRPr="00065F46">
        <w:rPr>
          <w:rFonts w:ascii="Times New Roman" w:hAnsi="Times New Roman" w:cs="Times New Roman"/>
          <w:sz w:val="24"/>
          <w:szCs w:val="24"/>
        </w:rPr>
        <w:t xml:space="preserve">. </w:t>
      </w:r>
      <w:r w:rsidR="00034DA7">
        <w:rPr>
          <w:rFonts w:ascii="Times New Roman" w:hAnsi="Times New Roman" w:cs="Times New Roman"/>
          <w:sz w:val="24"/>
          <w:szCs w:val="24"/>
        </w:rPr>
        <w:t>S</w:t>
      </w:r>
      <w:r w:rsidR="00C90DC6" w:rsidRPr="00065F46">
        <w:rPr>
          <w:rFonts w:ascii="Times New Roman" w:hAnsi="Times New Roman" w:cs="Times New Roman"/>
          <w:sz w:val="24"/>
          <w:szCs w:val="24"/>
        </w:rPr>
        <w:t>i de nombreux travaux</w:t>
      </w:r>
      <w:r w:rsidR="007254EE">
        <w:rPr>
          <w:rFonts w:ascii="Times New Roman" w:hAnsi="Times New Roman" w:cs="Times New Roman"/>
          <w:sz w:val="24"/>
          <w:szCs w:val="24"/>
        </w:rPr>
        <w:t xml:space="preserve"> </w:t>
      </w:r>
      <w:r w:rsidR="007254EE">
        <w:rPr>
          <w:rFonts w:ascii="Times New Roman" w:hAnsi="Times New Roman" w:cs="Times New Roman"/>
          <w:sz w:val="24"/>
          <w:szCs w:val="24"/>
        </w:rPr>
        <w:t>(Bertrand et.al, 2014</w:t>
      </w:r>
      <w:r w:rsidR="007254EE">
        <w:rPr>
          <w:rFonts w:ascii="Times New Roman" w:hAnsi="Times New Roman" w:cs="Times New Roman"/>
          <w:sz w:val="24"/>
          <w:szCs w:val="24"/>
        </w:rPr>
        <w:t> ; Blanc, 2009</w:t>
      </w:r>
      <w:r w:rsidR="007254EE">
        <w:rPr>
          <w:rFonts w:ascii="Times New Roman" w:hAnsi="Times New Roman" w:cs="Times New Roman"/>
          <w:sz w:val="24"/>
          <w:szCs w:val="24"/>
        </w:rPr>
        <w:t>)</w:t>
      </w:r>
      <w:r w:rsidR="007254EE" w:rsidRPr="00065F46">
        <w:rPr>
          <w:rFonts w:ascii="Times New Roman" w:hAnsi="Times New Roman" w:cs="Times New Roman"/>
          <w:sz w:val="24"/>
          <w:szCs w:val="24"/>
        </w:rPr>
        <w:t xml:space="preserve">, </w:t>
      </w:r>
      <w:r w:rsidR="00C90DC6" w:rsidRPr="00065F46">
        <w:rPr>
          <w:rFonts w:ascii="Times New Roman" w:hAnsi="Times New Roman" w:cs="Times New Roman"/>
          <w:sz w:val="24"/>
          <w:szCs w:val="24"/>
        </w:rPr>
        <w:t xml:space="preserve">existent sur </w:t>
      </w:r>
      <w:r w:rsidR="007254EE">
        <w:rPr>
          <w:rFonts w:ascii="Times New Roman" w:hAnsi="Times New Roman" w:cs="Times New Roman"/>
          <w:sz w:val="24"/>
          <w:szCs w:val="24"/>
        </w:rPr>
        <w:t>les</w:t>
      </w:r>
      <w:r w:rsidR="00C90DC6" w:rsidRPr="00065F46">
        <w:rPr>
          <w:rFonts w:ascii="Times New Roman" w:hAnsi="Times New Roman" w:cs="Times New Roman"/>
          <w:sz w:val="24"/>
          <w:szCs w:val="24"/>
        </w:rPr>
        <w:t xml:space="preserve"> usages </w:t>
      </w:r>
      <w:r w:rsidR="00E24669">
        <w:rPr>
          <w:rFonts w:ascii="Times New Roman" w:hAnsi="Times New Roman" w:cs="Times New Roman"/>
          <w:sz w:val="24"/>
          <w:szCs w:val="24"/>
        </w:rPr>
        <w:t>de la</w:t>
      </w:r>
      <w:r w:rsidR="009A79DC">
        <w:rPr>
          <w:rFonts w:ascii="Times New Roman" w:hAnsi="Times New Roman" w:cs="Times New Roman"/>
          <w:sz w:val="24"/>
          <w:szCs w:val="24"/>
        </w:rPr>
        <w:t xml:space="preserve"> </w:t>
      </w:r>
      <w:r w:rsidR="00C90DC6" w:rsidRPr="00065F46">
        <w:rPr>
          <w:rFonts w:ascii="Times New Roman" w:hAnsi="Times New Roman" w:cs="Times New Roman"/>
          <w:sz w:val="24"/>
          <w:szCs w:val="24"/>
        </w:rPr>
        <w:t>R</w:t>
      </w:r>
      <w:r w:rsidR="007254EE">
        <w:rPr>
          <w:rFonts w:ascii="Times New Roman" w:hAnsi="Times New Roman" w:cs="Times New Roman"/>
          <w:sz w:val="24"/>
          <w:szCs w:val="24"/>
        </w:rPr>
        <w:t>econnais</w:t>
      </w:r>
      <w:r w:rsidR="00A14938">
        <w:rPr>
          <w:rFonts w:ascii="Times New Roman" w:hAnsi="Times New Roman" w:cs="Times New Roman"/>
          <w:sz w:val="24"/>
          <w:szCs w:val="24"/>
        </w:rPr>
        <w:t>s</w:t>
      </w:r>
      <w:r w:rsidR="007254EE">
        <w:rPr>
          <w:rFonts w:ascii="Times New Roman" w:hAnsi="Times New Roman" w:cs="Times New Roman"/>
          <w:sz w:val="24"/>
          <w:szCs w:val="24"/>
        </w:rPr>
        <w:t xml:space="preserve">ance de la </w:t>
      </w:r>
      <w:r w:rsidR="00C90DC6" w:rsidRPr="00065F46">
        <w:rPr>
          <w:rFonts w:ascii="Times New Roman" w:hAnsi="Times New Roman" w:cs="Times New Roman"/>
          <w:sz w:val="24"/>
          <w:szCs w:val="24"/>
        </w:rPr>
        <w:t>Q</w:t>
      </w:r>
      <w:r w:rsidR="007254EE">
        <w:rPr>
          <w:rFonts w:ascii="Times New Roman" w:hAnsi="Times New Roman" w:cs="Times New Roman"/>
          <w:sz w:val="24"/>
          <w:szCs w:val="24"/>
        </w:rPr>
        <w:t xml:space="preserve">ualité de </w:t>
      </w:r>
      <w:r w:rsidR="00C90DC6" w:rsidRPr="00065F46">
        <w:rPr>
          <w:rFonts w:ascii="Times New Roman" w:hAnsi="Times New Roman" w:cs="Times New Roman"/>
          <w:sz w:val="24"/>
          <w:szCs w:val="24"/>
        </w:rPr>
        <w:t>T</w:t>
      </w:r>
      <w:r w:rsidR="007254EE">
        <w:rPr>
          <w:rFonts w:ascii="Times New Roman" w:hAnsi="Times New Roman" w:cs="Times New Roman"/>
          <w:sz w:val="24"/>
          <w:szCs w:val="24"/>
        </w:rPr>
        <w:t xml:space="preserve">ravailleur </w:t>
      </w:r>
      <w:r w:rsidR="00C90DC6" w:rsidRPr="00065F46">
        <w:rPr>
          <w:rFonts w:ascii="Times New Roman" w:hAnsi="Times New Roman" w:cs="Times New Roman"/>
          <w:sz w:val="24"/>
          <w:szCs w:val="24"/>
        </w:rPr>
        <w:t>H</w:t>
      </w:r>
      <w:r w:rsidR="007254EE">
        <w:rPr>
          <w:rFonts w:ascii="Times New Roman" w:hAnsi="Times New Roman" w:cs="Times New Roman"/>
          <w:sz w:val="24"/>
          <w:szCs w:val="24"/>
        </w:rPr>
        <w:t>andicapé</w:t>
      </w:r>
      <w:r w:rsidR="003F2740">
        <w:rPr>
          <w:rFonts w:ascii="Times New Roman" w:hAnsi="Times New Roman" w:cs="Times New Roman"/>
          <w:sz w:val="24"/>
          <w:szCs w:val="24"/>
        </w:rPr>
        <w:t xml:space="preserve"> (RQTH)</w:t>
      </w:r>
      <w:r w:rsidR="007254EE">
        <w:rPr>
          <w:rFonts w:ascii="Times New Roman" w:hAnsi="Times New Roman" w:cs="Times New Roman"/>
          <w:sz w:val="24"/>
          <w:szCs w:val="24"/>
        </w:rPr>
        <w:t xml:space="preserve">, </w:t>
      </w:r>
      <w:r w:rsidR="00C90DC6" w:rsidRPr="00065F46">
        <w:rPr>
          <w:rFonts w:ascii="Times New Roman" w:hAnsi="Times New Roman" w:cs="Times New Roman"/>
          <w:sz w:val="24"/>
          <w:szCs w:val="24"/>
        </w:rPr>
        <w:t>peu</w:t>
      </w:r>
      <w:r w:rsidR="007254EE">
        <w:rPr>
          <w:rFonts w:ascii="Times New Roman" w:hAnsi="Times New Roman" w:cs="Times New Roman"/>
          <w:sz w:val="24"/>
          <w:szCs w:val="24"/>
        </w:rPr>
        <w:t xml:space="preserve"> portent sur </w:t>
      </w:r>
      <w:r w:rsidR="00A14938">
        <w:rPr>
          <w:rFonts w:ascii="Times New Roman" w:hAnsi="Times New Roman" w:cs="Times New Roman"/>
          <w:sz w:val="24"/>
          <w:szCs w:val="24"/>
        </w:rPr>
        <w:t>ceux</w:t>
      </w:r>
      <w:r w:rsidR="003F2740">
        <w:rPr>
          <w:rFonts w:ascii="Times New Roman" w:hAnsi="Times New Roman" w:cs="Times New Roman"/>
          <w:sz w:val="24"/>
          <w:szCs w:val="24"/>
        </w:rPr>
        <w:t xml:space="preserve"> du</w:t>
      </w:r>
      <w:r w:rsidR="00C90DC6" w:rsidRPr="00065F46">
        <w:rPr>
          <w:rFonts w:ascii="Times New Roman" w:hAnsi="Times New Roman" w:cs="Times New Roman"/>
          <w:sz w:val="24"/>
          <w:szCs w:val="24"/>
        </w:rPr>
        <w:t xml:space="preserve"> statut d’ « étudiant handicapé ». </w:t>
      </w:r>
      <w:r w:rsidR="00EB7F60">
        <w:rPr>
          <w:rFonts w:ascii="Times New Roman" w:hAnsi="Times New Roman" w:cs="Times New Roman"/>
          <w:sz w:val="24"/>
          <w:szCs w:val="24"/>
        </w:rPr>
        <w:t>Cette</w:t>
      </w:r>
      <w:r w:rsidR="007254EE">
        <w:rPr>
          <w:rFonts w:ascii="Times New Roman" w:hAnsi="Times New Roman" w:cs="Times New Roman"/>
          <w:sz w:val="24"/>
          <w:szCs w:val="24"/>
        </w:rPr>
        <w:t xml:space="preserve"> catégorie d’action publique est</w:t>
      </w:r>
      <w:r w:rsidR="00EB7F60">
        <w:rPr>
          <w:rFonts w:ascii="Times New Roman" w:hAnsi="Times New Roman" w:cs="Times New Roman"/>
          <w:sz w:val="24"/>
          <w:szCs w:val="24"/>
        </w:rPr>
        <w:t>, en effet,</w:t>
      </w:r>
      <w:r w:rsidR="007254EE">
        <w:rPr>
          <w:rFonts w:ascii="Times New Roman" w:hAnsi="Times New Roman" w:cs="Times New Roman"/>
          <w:sz w:val="24"/>
          <w:szCs w:val="24"/>
        </w:rPr>
        <w:t xml:space="preserve"> à la fois récente et quantitativement restreinte</w:t>
      </w:r>
      <w:r w:rsidR="003F2740">
        <w:rPr>
          <w:rStyle w:val="Appelnotedebasdep"/>
          <w:rFonts w:ascii="Times New Roman" w:hAnsi="Times New Roman" w:cs="Times New Roman"/>
          <w:sz w:val="24"/>
          <w:szCs w:val="24"/>
        </w:rPr>
        <w:footnoteReference w:id="2"/>
      </w:r>
      <w:r w:rsidR="003F2740">
        <w:rPr>
          <w:rFonts w:ascii="Times New Roman" w:hAnsi="Times New Roman" w:cs="Times New Roman"/>
          <w:sz w:val="24"/>
          <w:szCs w:val="24"/>
        </w:rPr>
        <w:t>. Pour au</w:t>
      </w:r>
      <w:r w:rsidR="003F2740" w:rsidRPr="00C17102">
        <w:t>t</w:t>
      </w:r>
      <w:r w:rsidR="003F2740">
        <w:rPr>
          <w:rFonts w:ascii="Times New Roman" w:hAnsi="Times New Roman" w:cs="Times New Roman"/>
          <w:sz w:val="24"/>
          <w:szCs w:val="24"/>
        </w:rPr>
        <w:t>ant</w:t>
      </w:r>
      <w:r w:rsidR="00C90DC6" w:rsidRPr="00065F46">
        <w:rPr>
          <w:rFonts w:ascii="Times New Roman" w:hAnsi="Times New Roman" w:cs="Times New Roman"/>
          <w:sz w:val="24"/>
          <w:szCs w:val="24"/>
        </w:rPr>
        <w:t xml:space="preserve">, </w:t>
      </w:r>
      <w:r w:rsidR="008666F3">
        <w:rPr>
          <w:rFonts w:ascii="Times New Roman" w:hAnsi="Times New Roman" w:cs="Times New Roman"/>
          <w:sz w:val="24"/>
          <w:szCs w:val="24"/>
        </w:rPr>
        <w:t xml:space="preserve">parmi ces derniers, </w:t>
      </w:r>
      <w:r w:rsidR="00C90DC6" w:rsidRPr="00065F46">
        <w:rPr>
          <w:rFonts w:ascii="Times New Roman" w:hAnsi="Times New Roman" w:cs="Times New Roman"/>
          <w:sz w:val="24"/>
          <w:szCs w:val="24"/>
        </w:rPr>
        <w:t xml:space="preserve">certains ont montré que les </w:t>
      </w:r>
      <w:r w:rsidR="00C41E8B">
        <w:rPr>
          <w:rFonts w:ascii="Times New Roman" w:hAnsi="Times New Roman" w:cs="Times New Roman"/>
          <w:sz w:val="24"/>
          <w:szCs w:val="24"/>
        </w:rPr>
        <w:t>« </w:t>
      </w:r>
      <w:r w:rsidR="008666F3">
        <w:rPr>
          <w:rFonts w:ascii="Times New Roman" w:hAnsi="Times New Roman" w:cs="Times New Roman"/>
          <w:sz w:val="24"/>
          <w:szCs w:val="24"/>
        </w:rPr>
        <w:t>modalités</w:t>
      </w:r>
      <w:r w:rsidR="00C41E8B">
        <w:rPr>
          <w:rFonts w:ascii="Times New Roman" w:hAnsi="Times New Roman" w:cs="Times New Roman"/>
          <w:sz w:val="24"/>
          <w:szCs w:val="24"/>
        </w:rPr>
        <w:t> »</w:t>
      </w:r>
      <w:r w:rsidR="008666F3">
        <w:rPr>
          <w:rFonts w:ascii="Times New Roman" w:hAnsi="Times New Roman" w:cs="Times New Roman"/>
          <w:sz w:val="24"/>
          <w:szCs w:val="24"/>
        </w:rPr>
        <w:t xml:space="preserve"> d’accès et </w:t>
      </w:r>
      <w:r w:rsidR="00C90DC6" w:rsidRPr="00065F46">
        <w:rPr>
          <w:rFonts w:ascii="Times New Roman" w:hAnsi="Times New Roman" w:cs="Times New Roman"/>
          <w:sz w:val="24"/>
          <w:szCs w:val="24"/>
        </w:rPr>
        <w:t xml:space="preserve">« formes » de recours aux </w:t>
      </w:r>
      <w:r w:rsidR="00763DCB">
        <w:rPr>
          <w:rFonts w:ascii="Times New Roman" w:hAnsi="Times New Roman" w:cs="Times New Roman"/>
          <w:sz w:val="24"/>
          <w:szCs w:val="24"/>
        </w:rPr>
        <w:t>dispositifs</w:t>
      </w:r>
      <w:r w:rsidR="004C4FD4">
        <w:rPr>
          <w:rFonts w:ascii="Times New Roman" w:hAnsi="Times New Roman" w:cs="Times New Roman"/>
          <w:sz w:val="24"/>
          <w:szCs w:val="24"/>
        </w:rPr>
        <w:t xml:space="preserve"> de compensation </w:t>
      </w:r>
      <w:r w:rsidR="00D3258F">
        <w:rPr>
          <w:rFonts w:ascii="Times New Roman" w:hAnsi="Times New Roman" w:cs="Times New Roman"/>
          <w:sz w:val="24"/>
          <w:szCs w:val="24"/>
        </w:rPr>
        <w:t>universitaires</w:t>
      </w:r>
      <w:r w:rsidR="00C90DC6" w:rsidRPr="00065F46">
        <w:rPr>
          <w:rFonts w:ascii="Times New Roman" w:hAnsi="Times New Roman" w:cs="Times New Roman"/>
          <w:sz w:val="24"/>
          <w:szCs w:val="24"/>
        </w:rPr>
        <w:t xml:space="preserve"> pouvaient varier notamment en fonction du rapport au handicap des étudiants concernés</w:t>
      </w:r>
      <w:r w:rsidR="00FE23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E2338">
        <w:rPr>
          <w:rFonts w:ascii="Times New Roman" w:hAnsi="Times New Roman" w:cs="Times New Roman"/>
          <w:sz w:val="24"/>
          <w:szCs w:val="24"/>
        </w:rPr>
        <w:t>Segon</w:t>
      </w:r>
      <w:proofErr w:type="spellEnd"/>
      <w:r w:rsidR="00FE2338">
        <w:rPr>
          <w:rFonts w:ascii="Times New Roman" w:hAnsi="Times New Roman" w:cs="Times New Roman"/>
          <w:sz w:val="24"/>
          <w:szCs w:val="24"/>
        </w:rPr>
        <w:t>, Le Roux, </w:t>
      </w:r>
      <w:r w:rsidR="00F17EB2">
        <w:rPr>
          <w:rFonts w:ascii="Times New Roman" w:hAnsi="Times New Roman" w:cs="Times New Roman"/>
          <w:sz w:val="24"/>
          <w:szCs w:val="24"/>
        </w:rPr>
        <w:t>2013</w:t>
      </w:r>
      <w:r w:rsidR="00FE2338">
        <w:rPr>
          <w:rFonts w:ascii="Times New Roman" w:hAnsi="Times New Roman" w:cs="Times New Roman"/>
          <w:sz w:val="24"/>
          <w:szCs w:val="24"/>
        </w:rPr>
        <w:t>)</w:t>
      </w:r>
      <w:r w:rsidR="00C90DC6" w:rsidRPr="00065F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42CC" w:rsidRDefault="00065F46" w:rsidP="00725172">
      <w:pPr>
        <w:jc w:val="both"/>
        <w:rPr>
          <w:rFonts w:ascii="Times New Roman" w:hAnsi="Times New Roman" w:cs="Times New Roman"/>
          <w:sz w:val="24"/>
          <w:szCs w:val="24"/>
        </w:rPr>
      </w:pPr>
      <w:r w:rsidRPr="00065F46">
        <w:rPr>
          <w:rFonts w:ascii="Times New Roman" w:hAnsi="Times New Roman" w:cs="Times New Roman"/>
          <w:sz w:val="24"/>
          <w:szCs w:val="24"/>
        </w:rPr>
        <w:t xml:space="preserve">A partir de données issues d’une enquête nationale réalisée par questionnaire auprès d’actuels et d’anciens </w:t>
      </w:r>
      <w:r w:rsidR="007F07C6">
        <w:rPr>
          <w:rFonts w:ascii="Times New Roman" w:hAnsi="Times New Roman" w:cs="Times New Roman"/>
          <w:sz w:val="24"/>
          <w:szCs w:val="24"/>
        </w:rPr>
        <w:t xml:space="preserve">étudiants </w:t>
      </w:r>
      <w:r w:rsidR="00F17EB2">
        <w:rPr>
          <w:rFonts w:ascii="Times New Roman" w:hAnsi="Times New Roman" w:cs="Times New Roman"/>
          <w:sz w:val="24"/>
          <w:szCs w:val="24"/>
        </w:rPr>
        <w:t>recensés</w:t>
      </w:r>
      <w:r w:rsidR="002F3EE1">
        <w:rPr>
          <w:rFonts w:ascii="Times New Roman" w:hAnsi="Times New Roman" w:cs="Times New Roman"/>
          <w:sz w:val="24"/>
          <w:szCs w:val="24"/>
        </w:rPr>
        <w:t xml:space="preserve"> (n=710)</w:t>
      </w:r>
      <w:r w:rsidR="00F17EB2">
        <w:rPr>
          <w:rFonts w:ascii="Times New Roman" w:hAnsi="Times New Roman" w:cs="Times New Roman"/>
          <w:sz w:val="24"/>
          <w:szCs w:val="24"/>
        </w:rPr>
        <w:t xml:space="preserve"> par les Services d’accompagnement des étudiants handicapés (SAEH) des universités françaises, </w:t>
      </w:r>
      <w:r w:rsidRPr="00065F46">
        <w:rPr>
          <w:rFonts w:ascii="Times New Roman" w:hAnsi="Times New Roman" w:cs="Times New Roman"/>
          <w:sz w:val="24"/>
          <w:szCs w:val="24"/>
        </w:rPr>
        <w:t xml:space="preserve">nous proposons </w:t>
      </w:r>
      <w:r w:rsidR="00FF66AF" w:rsidRPr="007D12D9">
        <w:rPr>
          <w:rFonts w:ascii="Times New Roman" w:hAnsi="Times New Roman" w:cs="Times New Roman"/>
          <w:sz w:val="24"/>
          <w:szCs w:val="24"/>
        </w:rPr>
        <w:t xml:space="preserve">d’aborder </w:t>
      </w:r>
      <w:r w:rsidR="007254EE">
        <w:rPr>
          <w:rFonts w:ascii="Times New Roman" w:hAnsi="Times New Roman" w:cs="Times New Roman"/>
          <w:sz w:val="24"/>
          <w:szCs w:val="24"/>
        </w:rPr>
        <w:t xml:space="preserve">les usages de ces dispositifs </w:t>
      </w:r>
      <w:r w:rsidR="002F3EE1">
        <w:rPr>
          <w:rFonts w:ascii="Times New Roman" w:hAnsi="Times New Roman" w:cs="Times New Roman"/>
          <w:sz w:val="24"/>
          <w:szCs w:val="24"/>
        </w:rPr>
        <w:t>en trois temps</w:t>
      </w:r>
      <w:r w:rsidR="003F2740">
        <w:rPr>
          <w:rFonts w:ascii="Times New Roman" w:hAnsi="Times New Roman" w:cs="Times New Roman"/>
          <w:sz w:val="24"/>
          <w:szCs w:val="24"/>
        </w:rPr>
        <w:t xml:space="preserve"> </w:t>
      </w:r>
      <w:r w:rsidR="007254EE">
        <w:rPr>
          <w:rFonts w:ascii="Times New Roman" w:hAnsi="Times New Roman" w:cs="Times New Roman"/>
          <w:sz w:val="24"/>
          <w:szCs w:val="24"/>
        </w:rPr>
        <w:t>:</w:t>
      </w:r>
    </w:p>
    <w:p w:rsidR="00A14938" w:rsidRDefault="00A14938" w:rsidP="003F2740">
      <w:pPr>
        <w:pStyle w:val="Paragraphedelist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seront d’abord présentées</w:t>
      </w:r>
      <w:r w:rsidR="009A79DC" w:rsidRPr="003F2740">
        <w:rPr>
          <w:rFonts w:ascii="Times New Roman" w:hAnsi="Times New Roman" w:cs="Times New Roman"/>
          <w:sz w:val="24"/>
          <w:szCs w:val="24"/>
        </w:rPr>
        <w:t xml:space="preserve"> </w:t>
      </w:r>
      <w:r w:rsidR="007B1A25" w:rsidRPr="003F2740">
        <w:rPr>
          <w:rFonts w:ascii="Times New Roman" w:hAnsi="Times New Roman" w:cs="Times New Roman"/>
          <w:sz w:val="24"/>
          <w:szCs w:val="24"/>
        </w:rPr>
        <w:t xml:space="preserve">les </w:t>
      </w:r>
      <w:bookmarkEnd w:id="0"/>
      <w:r w:rsidR="00D3258F" w:rsidRPr="003F2740">
        <w:rPr>
          <w:rFonts w:ascii="Times New Roman" w:hAnsi="Times New Roman" w:cs="Times New Roman"/>
          <w:sz w:val="24"/>
          <w:szCs w:val="24"/>
        </w:rPr>
        <w:t>différente</w:t>
      </w:r>
      <w:r w:rsidR="00065F46" w:rsidRPr="003F2740">
        <w:rPr>
          <w:rFonts w:ascii="Times New Roman" w:hAnsi="Times New Roman" w:cs="Times New Roman"/>
          <w:sz w:val="24"/>
          <w:szCs w:val="24"/>
        </w:rPr>
        <w:t xml:space="preserve">s </w:t>
      </w:r>
      <w:r w:rsidR="00A37B90" w:rsidRPr="003F2740">
        <w:rPr>
          <w:rFonts w:ascii="Times New Roman" w:hAnsi="Times New Roman" w:cs="Times New Roman"/>
          <w:sz w:val="24"/>
          <w:szCs w:val="24"/>
        </w:rPr>
        <w:t>« </w:t>
      </w:r>
      <w:r w:rsidR="00711633" w:rsidRPr="003F2740">
        <w:rPr>
          <w:rFonts w:ascii="Times New Roman" w:hAnsi="Times New Roman" w:cs="Times New Roman"/>
          <w:sz w:val="24"/>
          <w:szCs w:val="24"/>
        </w:rPr>
        <w:t>mod</w:t>
      </w:r>
      <w:r w:rsidR="00D3258F" w:rsidRPr="003F2740">
        <w:rPr>
          <w:rFonts w:ascii="Times New Roman" w:hAnsi="Times New Roman" w:cs="Times New Roman"/>
          <w:sz w:val="24"/>
          <w:szCs w:val="24"/>
        </w:rPr>
        <w:t>alités</w:t>
      </w:r>
      <w:r w:rsidR="00A37B90" w:rsidRPr="003F2740">
        <w:rPr>
          <w:rFonts w:ascii="Times New Roman" w:hAnsi="Times New Roman" w:cs="Times New Roman"/>
          <w:sz w:val="24"/>
          <w:szCs w:val="24"/>
        </w:rPr>
        <w:t> »</w:t>
      </w:r>
      <w:r w:rsidR="00034DA7" w:rsidRPr="003F2740">
        <w:rPr>
          <w:rFonts w:ascii="Times New Roman" w:hAnsi="Times New Roman" w:cs="Times New Roman"/>
          <w:sz w:val="24"/>
          <w:szCs w:val="24"/>
        </w:rPr>
        <w:t xml:space="preserve"> d’accès et </w:t>
      </w:r>
      <w:r w:rsidR="007F07C6" w:rsidRPr="003F2740">
        <w:rPr>
          <w:rFonts w:ascii="Times New Roman" w:hAnsi="Times New Roman" w:cs="Times New Roman"/>
          <w:sz w:val="24"/>
          <w:szCs w:val="24"/>
        </w:rPr>
        <w:t>« </w:t>
      </w:r>
      <w:r w:rsidR="007B1A25" w:rsidRPr="003F2740">
        <w:rPr>
          <w:rFonts w:ascii="Times New Roman" w:hAnsi="Times New Roman" w:cs="Times New Roman"/>
          <w:sz w:val="24"/>
          <w:szCs w:val="24"/>
        </w:rPr>
        <w:t>formes</w:t>
      </w:r>
      <w:r w:rsidR="007F07C6" w:rsidRPr="003F2740">
        <w:rPr>
          <w:rFonts w:ascii="Times New Roman" w:hAnsi="Times New Roman" w:cs="Times New Roman"/>
          <w:sz w:val="24"/>
          <w:szCs w:val="24"/>
        </w:rPr>
        <w:t> »</w:t>
      </w:r>
      <w:r w:rsidR="007B1A25" w:rsidRPr="003F2740">
        <w:rPr>
          <w:rFonts w:ascii="Times New Roman" w:hAnsi="Times New Roman" w:cs="Times New Roman"/>
          <w:sz w:val="24"/>
          <w:szCs w:val="24"/>
        </w:rPr>
        <w:t xml:space="preserve"> de recours</w:t>
      </w:r>
      <w:r w:rsidR="00DF2EDB">
        <w:rPr>
          <w:rFonts w:ascii="Times New Roman" w:hAnsi="Times New Roman" w:cs="Times New Roman"/>
          <w:sz w:val="24"/>
          <w:szCs w:val="24"/>
        </w:rPr>
        <w:t xml:space="preserve"> </w:t>
      </w:r>
      <w:r w:rsidR="007B1A25" w:rsidRPr="003F2740">
        <w:rPr>
          <w:rFonts w:ascii="Times New Roman" w:hAnsi="Times New Roman" w:cs="Times New Roman"/>
          <w:sz w:val="24"/>
          <w:szCs w:val="24"/>
        </w:rPr>
        <w:t>: à quel moment, avec qui et comment les étudiants deviennent des « étudiants handicapés » et de quelle façon cette démarche s’inscrit dans le</w:t>
      </w:r>
      <w:r w:rsidR="004D48CF" w:rsidRPr="003F2740">
        <w:rPr>
          <w:rFonts w:ascii="Times New Roman" w:hAnsi="Times New Roman" w:cs="Times New Roman"/>
          <w:sz w:val="24"/>
          <w:szCs w:val="24"/>
        </w:rPr>
        <w:t>ur</w:t>
      </w:r>
      <w:r w:rsidR="00711633" w:rsidRPr="003F2740">
        <w:rPr>
          <w:rFonts w:ascii="Times New Roman" w:hAnsi="Times New Roman" w:cs="Times New Roman"/>
          <w:sz w:val="24"/>
          <w:szCs w:val="24"/>
        </w:rPr>
        <w:t>s</w:t>
      </w:r>
      <w:r w:rsidR="007B1A25" w:rsidRPr="003F2740">
        <w:rPr>
          <w:rFonts w:ascii="Times New Roman" w:hAnsi="Times New Roman" w:cs="Times New Roman"/>
          <w:sz w:val="24"/>
          <w:szCs w:val="24"/>
        </w:rPr>
        <w:t xml:space="preserve"> parcours de vie et d’études</w:t>
      </w:r>
      <w:r w:rsidR="00F17EB2" w:rsidRPr="003F2740">
        <w:rPr>
          <w:rFonts w:ascii="Times New Roman" w:hAnsi="Times New Roman" w:cs="Times New Roman"/>
          <w:sz w:val="24"/>
          <w:szCs w:val="24"/>
        </w:rPr>
        <w:t xml:space="preserve"> </w:t>
      </w:r>
      <w:r w:rsidR="007B1A25" w:rsidRPr="003F2740">
        <w:rPr>
          <w:rFonts w:ascii="Times New Roman" w:hAnsi="Times New Roman" w:cs="Times New Roman"/>
          <w:sz w:val="24"/>
          <w:szCs w:val="24"/>
        </w:rPr>
        <w:t>?</w:t>
      </w:r>
    </w:p>
    <w:p w:rsidR="00A14938" w:rsidRDefault="004D48CF" w:rsidP="00A14938">
      <w:pPr>
        <w:pStyle w:val="Paragraphedelist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38">
        <w:rPr>
          <w:rFonts w:ascii="Times New Roman" w:hAnsi="Times New Roman" w:cs="Times New Roman"/>
          <w:sz w:val="24"/>
          <w:szCs w:val="24"/>
        </w:rPr>
        <w:t>Puis</w:t>
      </w:r>
      <w:r w:rsidR="004F1506" w:rsidRPr="00A14938">
        <w:rPr>
          <w:rFonts w:ascii="Times New Roman" w:hAnsi="Times New Roman" w:cs="Times New Roman"/>
          <w:sz w:val="24"/>
          <w:szCs w:val="24"/>
        </w:rPr>
        <w:t>, nous analyserons</w:t>
      </w:r>
      <w:r w:rsidR="00065F46" w:rsidRPr="00A14938">
        <w:rPr>
          <w:rFonts w:ascii="Times New Roman" w:hAnsi="Times New Roman" w:cs="Times New Roman"/>
          <w:sz w:val="24"/>
          <w:szCs w:val="24"/>
        </w:rPr>
        <w:t xml:space="preserve"> </w:t>
      </w:r>
      <w:r w:rsidR="004F1506" w:rsidRPr="00A14938">
        <w:rPr>
          <w:rFonts w:ascii="Times New Roman" w:hAnsi="Times New Roman" w:cs="Times New Roman"/>
          <w:sz w:val="24"/>
          <w:szCs w:val="24"/>
        </w:rPr>
        <w:t xml:space="preserve">les </w:t>
      </w:r>
      <w:r w:rsidR="00034DA7" w:rsidRPr="00A14938">
        <w:rPr>
          <w:rFonts w:ascii="Times New Roman" w:hAnsi="Times New Roman" w:cs="Times New Roman"/>
          <w:sz w:val="24"/>
          <w:szCs w:val="24"/>
        </w:rPr>
        <w:t xml:space="preserve">expériences </w:t>
      </w:r>
      <w:r w:rsidR="004F1506" w:rsidRPr="00A14938">
        <w:rPr>
          <w:rFonts w:ascii="Times New Roman" w:hAnsi="Times New Roman" w:cs="Times New Roman"/>
          <w:sz w:val="24"/>
          <w:szCs w:val="24"/>
        </w:rPr>
        <w:t>vécu</w:t>
      </w:r>
      <w:r w:rsidR="009A79DC" w:rsidRPr="00A14938">
        <w:rPr>
          <w:rFonts w:ascii="Times New Roman" w:hAnsi="Times New Roman" w:cs="Times New Roman"/>
          <w:sz w:val="24"/>
          <w:szCs w:val="24"/>
        </w:rPr>
        <w:t>e</w:t>
      </w:r>
      <w:r w:rsidR="004F1506" w:rsidRPr="00A14938">
        <w:rPr>
          <w:rFonts w:ascii="Times New Roman" w:hAnsi="Times New Roman" w:cs="Times New Roman"/>
          <w:sz w:val="24"/>
          <w:szCs w:val="24"/>
        </w:rPr>
        <w:t>s de la compensation</w:t>
      </w:r>
      <w:r w:rsidR="008666F3" w:rsidRPr="00A14938">
        <w:rPr>
          <w:rFonts w:ascii="Times New Roman" w:hAnsi="Times New Roman" w:cs="Times New Roman"/>
          <w:sz w:val="24"/>
          <w:szCs w:val="24"/>
        </w:rPr>
        <w:t xml:space="preserve">. </w:t>
      </w:r>
      <w:r w:rsidR="002F3EE1">
        <w:rPr>
          <w:rFonts w:ascii="Times New Roman" w:hAnsi="Times New Roman" w:cs="Times New Roman"/>
          <w:sz w:val="24"/>
          <w:szCs w:val="24"/>
        </w:rPr>
        <w:t xml:space="preserve">Il s’agit de </w:t>
      </w:r>
      <w:r w:rsidR="002E1326" w:rsidRPr="00A14938">
        <w:rPr>
          <w:rFonts w:ascii="Times New Roman" w:hAnsi="Times New Roman" w:cs="Times New Roman"/>
          <w:sz w:val="24"/>
          <w:szCs w:val="24"/>
        </w:rPr>
        <w:t>mesurer</w:t>
      </w:r>
      <w:r w:rsidRPr="00A14938">
        <w:rPr>
          <w:rFonts w:ascii="Times New Roman" w:hAnsi="Times New Roman" w:cs="Times New Roman"/>
          <w:sz w:val="24"/>
          <w:szCs w:val="24"/>
        </w:rPr>
        <w:t xml:space="preserve"> </w:t>
      </w:r>
      <w:r w:rsidR="00034DA7" w:rsidRPr="00A14938">
        <w:rPr>
          <w:rFonts w:ascii="Times New Roman" w:hAnsi="Times New Roman" w:cs="Times New Roman"/>
          <w:sz w:val="24"/>
          <w:szCs w:val="24"/>
        </w:rPr>
        <w:t>la multiplicité des usages</w:t>
      </w:r>
      <w:r w:rsidRPr="00A14938">
        <w:rPr>
          <w:rFonts w:ascii="Times New Roman" w:hAnsi="Times New Roman" w:cs="Times New Roman"/>
          <w:sz w:val="24"/>
          <w:szCs w:val="24"/>
        </w:rPr>
        <w:t xml:space="preserve"> </w:t>
      </w:r>
      <w:r w:rsidR="002E1326" w:rsidRPr="00A14938">
        <w:rPr>
          <w:rFonts w:ascii="Times New Roman" w:hAnsi="Times New Roman" w:cs="Times New Roman"/>
          <w:sz w:val="24"/>
          <w:szCs w:val="24"/>
        </w:rPr>
        <w:t>des</w:t>
      </w:r>
      <w:r w:rsidR="00711633" w:rsidRPr="00A14938">
        <w:rPr>
          <w:rFonts w:ascii="Times New Roman" w:hAnsi="Times New Roman" w:cs="Times New Roman"/>
          <w:sz w:val="24"/>
          <w:szCs w:val="24"/>
        </w:rPr>
        <w:t xml:space="preserve"> dispositifs </w:t>
      </w:r>
      <w:r w:rsidR="002E1326" w:rsidRPr="00A14938">
        <w:rPr>
          <w:rFonts w:ascii="Times New Roman" w:hAnsi="Times New Roman" w:cs="Times New Roman"/>
          <w:sz w:val="24"/>
          <w:szCs w:val="24"/>
        </w:rPr>
        <w:t xml:space="preserve">existants </w:t>
      </w:r>
      <w:r w:rsidR="00D3258F" w:rsidRPr="00A14938">
        <w:rPr>
          <w:rFonts w:ascii="Times New Roman" w:hAnsi="Times New Roman" w:cs="Times New Roman"/>
          <w:sz w:val="24"/>
          <w:szCs w:val="24"/>
        </w:rPr>
        <w:t xml:space="preserve">et </w:t>
      </w:r>
      <w:r w:rsidR="006A12A3" w:rsidRPr="00A14938">
        <w:rPr>
          <w:rFonts w:ascii="Times New Roman" w:hAnsi="Times New Roman" w:cs="Times New Roman"/>
          <w:sz w:val="24"/>
          <w:szCs w:val="24"/>
        </w:rPr>
        <w:t>d’</w:t>
      </w:r>
      <w:r w:rsidR="00D3258F" w:rsidRPr="00A14938">
        <w:rPr>
          <w:rFonts w:ascii="Times New Roman" w:hAnsi="Times New Roman" w:cs="Times New Roman"/>
          <w:sz w:val="24"/>
          <w:szCs w:val="24"/>
        </w:rPr>
        <w:t>identifier les</w:t>
      </w:r>
      <w:r w:rsidR="00EF5206" w:rsidRPr="00A14938">
        <w:rPr>
          <w:rFonts w:ascii="Times New Roman" w:hAnsi="Times New Roman" w:cs="Times New Roman"/>
          <w:sz w:val="24"/>
          <w:szCs w:val="24"/>
        </w:rPr>
        <w:t xml:space="preserve"> résistances </w:t>
      </w:r>
      <w:r w:rsidR="00EB7F60">
        <w:rPr>
          <w:rFonts w:ascii="Times New Roman" w:hAnsi="Times New Roman" w:cs="Times New Roman"/>
          <w:sz w:val="24"/>
          <w:szCs w:val="24"/>
        </w:rPr>
        <w:t xml:space="preserve">éventuelles </w:t>
      </w:r>
      <w:r w:rsidR="00EF5206" w:rsidRPr="00A14938">
        <w:rPr>
          <w:rFonts w:ascii="Times New Roman" w:hAnsi="Times New Roman" w:cs="Times New Roman"/>
          <w:sz w:val="24"/>
          <w:szCs w:val="24"/>
        </w:rPr>
        <w:t xml:space="preserve">dont </w:t>
      </w:r>
      <w:r w:rsidR="00EB7F60">
        <w:rPr>
          <w:rFonts w:ascii="Times New Roman" w:hAnsi="Times New Roman" w:cs="Times New Roman"/>
          <w:sz w:val="24"/>
          <w:szCs w:val="24"/>
        </w:rPr>
        <w:t>ils</w:t>
      </w:r>
      <w:r w:rsidR="00EF5206" w:rsidRPr="00A14938">
        <w:rPr>
          <w:rFonts w:ascii="Times New Roman" w:hAnsi="Times New Roman" w:cs="Times New Roman"/>
          <w:sz w:val="24"/>
          <w:szCs w:val="24"/>
        </w:rPr>
        <w:t xml:space="preserve"> </w:t>
      </w:r>
      <w:r w:rsidR="002E1326" w:rsidRPr="00A14938">
        <w:rPr>
          <w:rFonts w:ascii="Times New Roman" w:hAnsi="Times New Roman" w:cs="Times New Roman"/>
          <w:sz w:val="24"/>
          <w:szCs w:val="24"/>
        </w:rPr>
        <w:t>font</w:t>
      </w:r>
      <w:r w:rsidR="00EF5206" w:rsidRPr="00A14938">
        <w:rPr>
          <w:rFonts w:ascii="Times New Roman" w:hAnsi="Times New Roman" w:cs="Times New Roman"/>
          <w:sz w:val="24"/>
          <w:szCs w:val="24"/>
        </w:rPr>
        <w:t xml:space="preserve"> l’objet</w:t>
      </w:r>
      <w:r w:rsidR="00A14938">
        <w:rPr>
          <w:rFonts w:ascii="Times New Roman" w:hAnsi="Times New Roman" w:cs="Times New Roman"/>
          <w:sz w:val="24"/>
          <w:szCs w:val="24"/>
        </w:rPr>
        <w:t>.</w:t>
      </w:r>
    </w:p>
    <w:p w:rsidR="00E24669" w:rsidRPr="00A14938" w:rsidRDefault="004F1506" w:rsidP="00A14938">
      <w:pPr>
        <w:pStyle w:val="Paragraphedelist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938">
        <w:rPr>
          <w:rFonts w:ascii="Times New Roman" w:hAnsi="Times New Roman" w:cs="Times New Roman"/>
          <w:sz w:val="24"/>
          <w:szCs w:val="24"/>
        </w:rPr>
        <w:t xml:space="preserve">Enfin, nous </w:t>
      </w:r>
      <w:r w:rsidR="004D48CF" w:rsidRPr="00A14938">
        <w:rPr>
          <w:rFonts w:ascii="Times New Roman" w:hAnsi="Times New Roman" w:cs="Times New Roman"/>
          <w:sz w:val="24"/>
          <w:szCs w:val="24"/>
        </w:rPr>
        <w:t xml:space="preserve">nous interrogerons </w:t>
      </w:r>
      <w:r w:rsidR="00034DA7" w:rsidRPr="00A14938">
        <w:rPr>
          <w:rFonts w:ascii="Times New Roman" w:hAnsi="Times New Roman" w:cs="Times New Roman"/>
          <w:sz w:val="24"/>
          <w:szCs w:val="24"/>
        </w:rPr>
        <w:t xml:space="preserve">sur </w:t>
      </w:r>
      <w:r w:rsidR="00711633" w:rsidRPr="00A14938">
        <w:rPr>
          <w:rFonts w:ascii="Times New Roman" w:hAnsi="Times New Roman" w:cs="Times New Roman"/>
          <w:sz w:val="24"/>
          <w:szCs w:val="24"/>
        </w:rPr>
        <w:t>(</w:t>
      </w:r>
      <w:r w:rsidR="00034DA7" w:rsidRPr="00A14938">
        <w:rPr>
          <w:rFonts w:ascii="Times New Roman" w:hAnsi="Times New Roman" w:cs="Times New Roman"/>
          <w:sz w:val="24"/>
          <w:szCs w:val="24"/>
        </w:rPr>
        <w:t>l’</w:t>
      </w:r>
      <w:r w:rsidR="00EF5206" w:rsidRPr="00A14938">
        <w:rPr>
          <w:rFonts w:ascii="Times New Roman" w:hAnsi="Times New Roman" w:cs="Times New Roman"/>
          <w:sz w:val="24"/>
          <w:szCs w:val="24"/>
        </w:rPr>
        <w:t>instrumentation</w:t>
      </w:r>
      <w:r w:rsidR="00711633" w:rsidRPr="00A14938">
        <w:rPr>
          <w:rFonts w:ascii="Times New Roman" w:hAnsi="Times New Roman" w:cs="Times New Roman"/>
          <w:sz w:val="24"/>
          <w:szCs w:val="24"/>
        </w:rPr>
        <w:t xml:space="preserve"> </w:t>
      </w:r>
      <w:r w:rsidR="00711633" w:rsidRPr="00A14938">
        <w:rPr>
          <w:rFonts w:ascii="Times New Roman" w:hAnsi="Times New Roman" w:cs="Times New Roman"/>
          <w:i/>
          <w:sz w:val="24"/>
          <w:szCs w:val="24"/>
        </w:rPr>
        <w:t>versus</w:t>
      </w:r>
      <w:r w:rsidR="00711633" w:rsidRPr="00A14938">
        <w:rPr>
          <w:rFonts w:ascii="Times New Roman" w:hAnsi="Times New Roman" w:cs="Times New Roman"/>
          <w:sz w:val="24"/>
          <w:szCs w:val="24"/>
        </w:rPr>
        <w:t xml:space="preserve"> instrumentalisation</w:t>
      </w:r>
      <w:r w:rsidR="008666F3" w:rsidRPr="00A14938">
        <w:rPr>
          <w:rFonts w:ascii="Times New Roman" w:hAnsi="Times New Roman" w:cs="Times New Roman"/>
          <w:sz w:val="24"/>
          <w:szCs w:val="24"/>
        </w:rPr>
        <w:t xml:space="preserve"> de</w:t>
      </w:r>
      <w:r w:rsidR="00711633" w:rsidRPr="00A14938">
        <w:rPr>
          <w:rFonts w:ascii="Times New Roman" w:hAnsi="Times New Roman" w:cs="Times New Roman"/>
          <w:sz w:val="24"/>
          <w:szCs w:val="24"/>
        </w:rPr>
        <w:t>)</w:t>
      </w:r>
      <w:r w:rsidR="00EF5206" w:rsidRPr="00A14938">
        <w:rPr>
          <w:rFonts w:ascii="Times New Roman" w:hAnsi="Times New Roman" w:cs="Times New Roman"/>
          <w:sz w:val="24"/>
          <w:szCs w:val="24"/>
        </w:rPr>
        <w:t xml:space="preserve"> </w:t>
      </w:r>
      <w:r w:rsidR="004C4FD4" w:rsidRPr="00A14938">
        <w:rPr>
          <w:rFonts w:ascii="Times New Roman" w:hAnsi="Times New Roman" w:cs="Times New Roman"/>
          <w:sz w:val="24"/>
          <w:szCs w:val="24"/>
        </w:rPr>
        <w:t>l’</w:t>
      </w:r>
      <w:r w:rsidR="00034DA7" w:rsidRPr="00A14938">
        <w:rPr>
          <w:rFonts w:ascii="Times New Roman" w:hAnsi="Times New Roman" w:cs="Times New Roman"/>
          <w:sz w:val="24"/>
          <w:szCs w:val="24"/>
        </w:rPr>
        <w:t xml:space="preserve">évaluation de ces dispositifs. </w:t>
      </w:r>
      <w:r w:rsidR="00077223" w:rsidRPr="00A14938">
        <w:rPr>
          <w:rFonts w:ascii="Times New Roman" w:hAnsi="Times New Roman" w:cs="Times New Roman"/>
          <w:sz w:val="24"/>
          <w:szCs w:val="24"/>
        </w:rPr>
        <w:t>D’après l’enquête menée, il</w:t>
      </w:r>
      <w:r w:rsidR="00DF2B7E" w:rsidRPr="00A14938">
        <w:rPr>
          <w:rFonts w:ascii="Times New Roman" w:hAnsi="Times New Roman" w:cs="Times New Roman"/>
          <w:sz w:val="24"/>
          <w:szCs w:val="24"/>
        </w:rPr>
        <w:t xml:space="preserve"> </w:t>
      </w:r>
      <w:r w:rsidRPr="00A14938">
        <w:rPr>
          <w:rFonts w:ascii="Times New Roman" w:hAnsi="Times New Roman" w:cs="Times New Roman"/>
          <w:sz w:val="24"/>
          <w:szCs w:val="24"/>
        </w:rPr>
        <w:t xml:space="preserve">apparait que les </w:t>
      </w:r>
      <w:r w:rsidR="00077223" w:rsidRPr="00A14938">
        <w:rPr>
          <w:rFonts w:ascii="Times New Roman" w:hAnsi="Times New Roman" w:cs="Times New Roman"/>
          <w:sz w:val="24"/>
          <w:szCs w:val="24"/>
        </w:rPr>
        <w:t xml:space="preserve">« usagers » </w:t>
      </w:r>
      <w:r w:rsidR="00EF5206" w:rsidRPr="00A14938">
        <w:rPr>
          <w:rFonts w:ascii="Times New Roman" w:hAnsi="Times New Roman" w:cs="Times New Roman"/>
          <w:sz w:val="24"/>
          <w:szCs w:val="24"/>
        </w:rPr>
        <w:t>interrogés</w:t>
      </w:r>
      <w:r w:rsidR="00077223" w:rsidRPr="00A14938">
        <w:rPr>
          <w:rFonts w:ascii="Times New Roman" w:hAnsi="Times New Roman" w:cs="Times New Roman"/>
          <w:sz w:val="24"/>
          <w:szCs w:val="24"/>
        </w:rPr>
        <w:t xml:space="preserve"> </w:t>
      </w:r>
      <w:r w:rsidRPr="00A14938">
        <w:rPr>
          <w:rFonts w:ascii="Times New Roman" w:hAnsi="Times New Roman" w:cs="Times New Roman"/>
          <w:sz w:val="24"/>
          <w:szCs w:val="24"/>
        </w:rPr>
        <w:t xml:space="preserve">sont particulièrement </w:t>
      </w:r>
      <w:r w:rsidR="00FF4605" w:rsidRPr="00A14938">
        <w:rPr>
          <w:rFonts w:ascii="Times New Roman" w:hAnsi="Times New Roman" w:cs="Times New Roman"/>
          <w:sz w:val="24"/>
          <w:szCs w:val="24"/>
        </w:rPr>
        <w:t>« </w:t>
      </w:r>
      <w:r w:rsidRPr="00A14938">
        <w:rPr>
          <w:rFonts w:ascii="Times New Roman" w:hAnsi="Times New Roman" w:cs="Times New Roman"/>
          <w:i/>
          <w:sz w:val="24"/>
          <w:szCs w:val="24"/>
        </w:rPr>
        <w:t>satisfaits</w:t>
      </w:r>
      <w:r w:rsidR="00FF4605" w:rsidRPr="00A14938">
        <w:rPr>
          <w:rFonts w:ascii="Times New Roman" w:hAnsi="Times New Roman" w:cs="Times New Roman"/>
          <w:sz w:val="24"/>
          <w:szCs w:val="24"/>
        </w:rPr>
        <w:t> »</w:t>
      </w:r>
      <w:r w:rsidRPr="00A14938">
        <w:rPr>
          <w:rFonts w:ascii="Times New Roman" w:hAnsi="Times New Roman" w:cs="Times New Roman"/>
          <w:sz w:val="24"/>
          <w:szCs w:val="24"/>
        </w:rPr>
        <w:t xml:space="preserve"> des aménagements proposés</w:t>
      </w:r>
      <w:r w:rsidR="00DF2B7E" w:rsidRPr="00A14938">
        <w:rPr>
          <w:rFonts w:ascii="Times New Roman" w:hAnsi="Times New Roman" w:cs="Times New Roman"/>
          <w:sz w:val="24"/>
          <w:szCs w:val="24"/>
        </w:rPr>
        <w:t xml:space="preserve"> : 92 % </w:t>
      </w:r>
      <w:r w:rsidR="00DF2B7E" w:rsidRPr="00A14938">
        <w:rPr>
          <w:rFonts w:ascii="Times New Roman" w:hAnsi="Times New Roman" w:cs="Times New Roman"/>
          <w:sz w:val="24"/>
          <w:szCs w:val="24"/>
        </w:rPr>
        <w:lastRenderedPageBreak/>
        <w:t xml:space="preserve">d’entre eux estiment qu’ils correspondaient </w:t>
      </w:r>
      <w:r w:rsidR="00FF4605" w:rsidRPr="00A14938">
        <w:rPr>
          <w:rFonts w:ascii="Times New Roman" w:hAnsi="Times New Roman" w:cs="Times New Roman"/>
          <w:sz w:val="24"/>
          <w:szCs w:val="24"/>
        </w:rPr>
        <w:t>« </w:t>
      </w:r>
      <w:r w:rsidR="00DF2B7E" w:rsidRPr="00A14938">
        <w:rPr>
          <w:rFonts w:ascii="Times New Roman" w:hAnsi="Times New Roman" w:cs="Times New Roman"/>
          <w:i/>
          <w:sz w:val="24"/>
          <w:szCs w:val="24"/>
        </w:rPr>
        <w:t>tout à fait</w:t>
      </w:r>
      <w:r w:rsidR="00FF4605" w:rsidRPr="00A14938">
        <w:rPr>
          <w:rFonts w:ascii="Times New Roman" w:hAnsi="Times New Roman" w:cs="Times New Roman"/>
          <w:sz w:val="24"/>
          <w:szCs w:val="24"/>
        </w:rPr>
        <w:t> »</w:t>
      </w:r>
      <w:r w:rsidR="00DF2B7E" w:rsidRPr="00A14938">
        <w:rPr>
          <w:rFonts w:ascii="Times New Roman" w:hAnsi="Times New Roman" w:cs="Times New Roman"/>
          <w:sz w:val="24"/>
          <w:szCs w:val="24"/>
        </w:rPr>
        <w:t xml:space="preserve"> ou </w:t>
      </w:r>
      <w:r w:rsidR="00FF4605" w:rsidRPr="00A14938">
        <w:rPr>
          <w:rFonts w:ascii="Times New Roman" w:hAnsi="Times New Roman" w:cs="Times New Roman"/>
          <w:sz w:val="24"/>
          <w:szCs w:val="24"/>
        </w:rPr>
        <w:t>« </w:t>
      </w:r>
      <w:r w:rsidR="00DF2B7E" w:rsidRPr="00A14938">
        <w:rPr>
          <w:rFonts w:ascii="Times New Roman" w:hAnsi="Times New Roman" w:cs="Times New Roman"/>
          <w:i/>
          <w:sz w:val="24"/>
          <w:szCs w:val="24"/>
        </w:rPr>
        <w:t>plutôt bien</w:t>
      </w:r>
      <w:r w:rsidR="00FF4605" w:rsidRPr="00A14938">
        <w:rPr>
          <w:rFonts w:ascii="Times New Roman" w:hAnsi="Times New Roman" w:cs="Times New Roman"/>
          <w:sz w:val="24"/>
          <w:szCs w:val="24"/>
        </w:rPr>
        <w:t> »</w:t>
      </w:r>
      <w:r w:rsidR="00DF2B7E" w:rsidRPr="00A14938">
        <w:rPr>
          <w:rFonts w:ascii="Times New Roman" w:hAnsi="Times New Roman" w:cs="Times New Roman"/>
          <w:sz w:val="24"/>
          <w:szCs w:val="24"/>
        </w:rPr>
        <w:t xml:space="preserve"> à leurs besoins. </w:t>
      </w:r>
      <w:r w:rsidR="00A14938">
        <w:rPr>
          <w:rFonts w:ascii="Times New Roman" w:hAnsi="Times New Roman" w:cs="Times New Roman"/>
          <w:sz w:val="24"/>
          <w:szCs w:val="24"/>
        </w:rPr>
        <w:t>En quoi</w:t>
      </w:r>
      <w:r w:rsidR="00DF2B7E" w:rsidRPr="00A14938">
        <w:rPr>
          <w:rFonts w:ascii="Times New Roman" w:hAnsi="Times New Roman" w:cs="Times New Roman"/>
          <w:sz w:val="24"/>
          <w:szCs w:val="24"/>
        </w:rPr>
        <w:t xml:space="preserve"> ces </w:t>
      </w:r>
      <w:r w:rsidR="00077223" w:rsidRPr="00A14938">
        <w:rPr>
          <w:rFonts w:ascii="Times New Roman" w:hAnsi="Times New Roman" w:cs="Times New Roman"/>
          <w:sz w:val="24"/>
          <w:szCs w:val="24"/>
        </w:rPr>
        <w:t>dispositifs d’</w:t>
      </w:r>
      <w:r w:rsidR="00DF2B7E" w:rsidRPr="00A14938">
        <w:rPr>
          <w:rFonts w:ascii="Times New Roman" w:hAnsi="Times New Roman" w:cs="Times New Roman"/>
          <w:sz w:val="24"/>
          <w:szCs w:val="24"/>
        </w:rPr>
        <w:t xml:space="preserve">aménagements universitaires </w:t>
      </w:r>
      <w:r w:rsidR="002E1326" w:rsidRPr="00A14938">
        <w:rPr>
          <w:rFonts w:ascii="Times New Roman" w:hAnsi="Times New Roman" w:cs="Times New Roman"/>
          <w:sz w:val="24"/>
          <w:szCs w:val="24"/>
        </w:rPr>
        <w:t>parviennent</w:t>
      </w:r>
      <w:r w:rsidR="00A14938">
        <w:rPr>
          <w:rFonts w:ascii="Times New Roman" w:hAnsi="Times New Roman" w:cs="Times New Roman"/>
          <w:sz w:val="24"/>
          <w:szCs w:val="24"/>
        </w:rPr>
        <w:t>-ils</w:t>
      </w:r>
      <w:r w:rsidR="00DF2B7E" w:rsidRPr="00A14938">
        <w:rPr>
          <w:rFonts w:ascii="Times New Roman" w:hAnsi="Times New Roman" w:cs="Times New Roman"/>
          <w:sz w:val="24"/>
          <w:szCs w:val="24"/>
        </w:rPr>
        <w:t xml:space="preserve"> </w:t>
      </w:r>
      <w:r w:rsidR="00473F89" w:rsidRPr="00A14938">
        <w:rPr>
          <w:rFonts w:ascii="Times New Roman" w:hAnsi="Times New Roman" w:cs="Times New Roman"/>
          <w:sz w:val="24"/>
          <w:szCs w:val="24"/>
        </w:rPr>
        <w:t xml:space="preserve">à </w:t>
      </w:r>
      <w:r w:rsidR="00A37B90" w:rsidRPr="00A14938">
        <w:rPr>
          <w:rFonts w:ascii="Times New Roman" w:hAnsi="Times New Roman" w:cs="Times New Roman"/>
          <w:sz w:val="24"/>
          <w:szCs w:val="24"/>
        </w:rPr>
        <w:t xml:space="preserve">réellement </w:t>
      </w:r>
      <w:r w:rsidR="00DF2B7E" w:rsidRPr="00A14938">
        <w:rPr>
          <w:rFonts w:ascii="Times New Roman" w:hAnsi="Times New Roman" w:cs="Times New Roman"/>
          <w:sz w:val="24"/>
          <w:szCs w:val="24"/>
        </w:rPr>
        <w:t>compenser le</w:t>
      </w:r>
      <w:r w:rsidR="00077223" w:rsidRPr="00A14938">
        <w:rPr>
          <w:rFonts w:ascii="Times New Roman" w:hAnsi="Times New Roman" w:cs="Times New Roman"/>
          <w:sz w:val="24"/>
          <w:szCs w:val="24"/>
        </w:rPr>
        <w:t>(s)</w:t>
      </w:r>
      <w:r w:rsidR="00DF2B7E" w:rsidRPr="00A14938">
        <w:rPr>
          <w:rFonts w:ascii="Times New Roman" w:hAnsi="Times New Roman" w:cs="Times New Roman"/>
          <w:sz w:val="24"/>
          <w:szCs w:val="24"/>
        </w:rPr>
        <w:t xml:space="preserve"> handicap</w:t>
      </w:r>
      <w:r w:rsidR="00077223" w:rsidRPr="00A14938">
        <w:rPr>
          <w:rFonts w:ascii="Times New Roman" w:hAnsi="Times New Roman" w:cs="Times New Roman"/>
          <w:sz w:val="24"/>
          <w:szCs w:val="24"/>
        </w:rPr>
        <w:t xml:space="preserve">(s)? </w:t>
      </w:r>
      <w:r w:rsidR="00DF2B7E" w:rsidRPr="00A14938">
        <w:rPr>
          <w:rFonts w:ascii="Times New Roman" w:hAnsi="Times New Roman" w:cs="Times New Roman"/>
          <w:sz w:val="24"/>
          <w:szCs w:val="24"/>
        </w:rPr>
        <w:t>Quelles limitations peuvent subsister ?</w:t>
      </w:r>
      <w:r w:rsidR="008666F3" w:rsidRPr="00A14938">
        <w:rPr>
          <w:rFonts w:ascii="Times New Roman" w:hAnsi="Times New Roman" w:cs="Times New Roman"/>
          <w:sz w:val="24"/>
          <w:szCs w:val="24"/>
        </w:rPr>
        <w:t xml:space="preserve"> Qu’en est-t-il des handicap</w:t>
      </w:r>
      <w:r w:rsidR="006F5C85" w:rsidRPr="00A14938">
        <w:rPr>
          <w:rFonts w:ascii="Times New Roman" w:hAnsi="Times New Roman" w:cs="Times New Roman"/>
          <w:sz w:val="24"/>
          <w:szCs w:val="24"/>
        </w:rPr>
        <w:t>s</w:t>
      </w:r>
      <w:r w:rsidR="008666F3" w:rsidRPr="00A14938">
        <w:rPr>
          <w:rFonts w:ascii="Times New Roman" w:hAnsi="Times New Roman" w:cs="Times New Roman"/>
          <w:sz w:val="24"/>
          <w:szCs w:val="24"/>
        </w:rPr>
        <w:t xml:space="preserve"> « invisibles » et/ou « émergents » ?</w:t>
      </w:r>
      <w:r w:rsidR="00EB22C9" w:rsidRPr="00A14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301" w:rsidRPr="007D12D9" w:rsidRDefault="00337301" w:rsidP="00337301">
      <w:pPr>
        <w:spacing w:after="0" w:line="240" w:lineRule="auto"/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6F7FDC" w:rsidRDefault="00C336DD" w:rsidP="00725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72BD2">
        <w:rPr>
          <w:rFonts w:ascii="Times New Roman" w:hAnsi="Times New Roman" w:cs="Times New Roman"/>
          <w:sz w:val="24"/>
          <w:szCs w:val="24"/>
        </w:rPr>
        <w:t>éférences</w:t>
      </w:r>
    </w:p>
    <w:p w:rsidR="00C336DD" w:rsidRDefault="00C336DD" w:rsidP="00725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6DD" w:rsidRDefault="00C336DD" w:rsidP="007254EE">
      <w:pPr>
        <w:spacing w:after="0" w:line="240" w:lineRule="auto"/>
        <w:jc w:val="both"/>
      </w:pPr>
      <w:r>
        <w:rPr>
          <w:rStyle w:val="uppercase"/>
        </w:rPr>
        <w:t>Bertrand</w:t>
      </w:r>
      <w:r>
        <w:t xml:space="preserve"> Louis, </w:t>
      </w:r>
      <w:proofErr w:type="spellStart"/>
      <w:r>
        <w:rPr>
          <w:rStyle w:val="uppercase"/>
        </w:rPr>
        <w:t>Caradec</w:t>
      </w:r>
      <w:proofErr w:type="spellEnd"/>
      <w:r>
        <w:t xml:space="preserve"> Vincent, </w:t>
      </w:r>
      <w:proofErr w:type="spellStart"/>
      <w:r>
        <w:rPr>
          <w:rStyle w:val="uppercase"/>
        </w:rPr>
        <w:t>Eideliman</w:t>
      </w:r>
      <w:proofErr w:type="spellEnd"/>
      <w:r>
        <w:t xml:space="preserve"> Jean-Sébastien, « Devenir travailleur handicapé. Enjeux individuels, frontières institutionnelles. », </w:t>
      </w:r>
      <w:r>
        <w:rPr>
          <w:rStyle w:val="Accentuation"/>
        </w:rPr>
        <w:t>Sociologie</w:t>
      </w:r>
      <w:r>
        <w:t xml:space="preserve"> 2/2014 (Vol. 5</w:t>
      </w:r>
      <w:proofErr w:type="gramStart"/>
      <w:r>
        <w:t>) ,</w:t>
      </w:r>
      <w:proofErr w:type="gramEnd"/>
      <w:r>
        <w:t xml:space="preserve"> p. 121-138</w:t>
      </w:r>
    </w:p>
    <w:p w:rsidR="007254EE" w:rsidRDefault="007254EE" w:rsidP="007254EE">
      <w:pPr>
        <w:spacing w:after="0" w:line="240" w:lineRule="auto"/>
        <w:jc w:val="both"/>
      </w:pPr>
    </w:p>
    <w:p w:rsidR="007254EE" w:rsidRDefault="007254EE" w:rsidP="007254EE">
      <w:pPr>
        <w:spacing w:after="0" w:line="240" w:lineRule="auto"/>
        <w:jc w:val="both"/>
      </w:pPr>
      <w:r>
        <w:rPr>
          <w:rStyle w:val="lev"/>
        </w:rPr>
        <w:t>Blanc A.</w:t>
      </w:r>
      <w:r>
        <w:t xml:space="preserve"> (</w:t>
      </w:r>
      <w:proofErr w:type="spellStart"/>
      <w:r>
        <w:t>dir</w:t>
      </w:r>
      <w:proofErr w:type="spellEnd"/>
      <w:r>
        <w:t xml:space="preserve">.) (2009), </w:t>
      </w:r>
      <w:r>
        <w:rPr>
          <w:rStyle w:val="Accentuation"/>
        </w:rPr>
        <w:t>L’Insertion professionnelle des travailleurs handicapés. En France de 1987 à nos jours</w:t>
      </w:r>
      <w:r>
        <w:t>, Paris, PUG, « Handicap, vieillissement, société ».</w:t>
      </w:r>
    </w:p>
    <w:p w:rsidR="003F2740" w:rsidRDefault="003F2740" w:rsidP="007254EE">
      <w:pPr>
        <w:spacing w:after="0" w:line="240" w:lineRule="auto"/>
        <w:jc w:val="both"/>
      </w:pPr>
    </w:p>
    <w:p w:rsidR="003F2740" w:rsidRDefault="003F2740" w:rsidP="00725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Foucault, 1978</w:t>
      </w:r>
      <w:r>
        <w:rPr>
          <w:rFonts w:ascii="Times New Roman" w:hAnsi="Times New Roman" w:cs="Times New Roman"/>
          <w:sz w:val="24"/>
          <w:szCs w:val="24"/>
        </w:rPr>
        <w:t> ?????</w:t>
      </w:r>
    </w:p>
    <w:p w:rsidR="003F2740" w:rsidRDefault="003F2740" w:rsidP="00725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740" w:rsidRPr="003F2740" w:rsidRDefault="003F2740" w:rsidP="00725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uppercase"/>
        </w:rPr>
        <w:t>Segon</w:t>
      </w:r>
      <w:proofErr w:type="spellEnd"/>
      <w:r>
        <w:t xml:space="preserve"> Michaël, </w:t>
      </w:r>
      <w:r>
        <w:rPr>
          <w:rStyle w:val="uppercase"/>
        </w:rPr>
        <w:t>Le Roux</w:t>
      </w:r>
      <w:r>
        <w:t xml:space="preserve"> Nathalie, « Parcours de formation et d'accès à l'emploi des anciens étudiants handicapés. Recours aux dispositifs et dynamiques identitaires», </w:t>
      </w:r>
      <w:r>
        <w:rPr>
          <w:rStyle w:val="Accentuation"/>
        </w:rPr>
        <w:t>Agora débats/jeunesses</w:t>
      </w:r>
      <w:r>
        <w:t xml:space="preserve"> 3/2013 (N° 65</w:t>
      </w:r>
      <w:proofErr w:type="gramStart"/>
      <w:r>
        <w:t>) ,</w:t>
      </w:r>
      <w:proofErr w:type="gramEnd"/>
      <w:r>
        <w:t xml:space="preserve"> p. 77-92</w:t>
      </w:r>
    </w:p>
    <w:sectPr w:rsidR="003F2740" w:rsidRPr="003F2740" w:rsidSect="00BD0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1D4" w:rsidRDefault="00CE41D4" w:rsidP="00E24669">
      <w:pPr>
        <w:spacing w:after="0" w:line="240" w:lineRule="auto"/>
      </w:pPr>
      <w:r>
        <w:separator/>
      </w:r>
    </w:p>
  </w:endnote>
  <w:endnote w:type="continuationSeparator" w:id="0">
    <w:p w:rsidR="00CE41D4" w:rsidRDefault="00CE41D4" w:rsidP="00E24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1D4" w:rsidRDefault="00CE41D4" w:rsidP="00E24669">
      <w:pPr>
        <w:spacing w:after="0" w:line="240" w:lineRule="auto"/>
      </w:pPr>
      <w:r>
        <w:separator/>
      </w:r>
    </w:p>
  </w:footnote>
  <w:footnote w:type="continuationSeparator" w:id="0">
    <w:p w:rsidR="00CE41D4" w:rsidRDefault="00CE41D4" w:rsidP="00E24669">
      <w:pPr>
        <w:spacing w:after="0" w:line="240" w:lineRule="auto"/>
      </w:pPr>
      <w:r>
        <w:continuationSeparator/>
      </w:r>
    </w:p>
  </w:footnote>
  <w:footnote w:id="1">
    <w:p w:rsidR="00F12458" w:rsidRDefault="00F12458">
      <w:pPr>
        <w:pStyle w:val="Notedebasdepage"/>
      </w:pPr>
      <w:r>
        <w:rPr>
          <w:rStyle w:val="Appelnotedebasdep"/>
        </w:rPr>
        <w:footnoteRef/>
      </w:r>
      <w:r>
        <w:t xml:space="preserve"> Comme la notion d’handicap </w:t>
      </w:r>
      <w:r w:rsidR="00DF2EDB">
        <w:t>« </w:t>
      </w:r>
      <w:r>
        <w:t>émergeant</w:t>
      </w:r>
      <w:r w:rsidR="00DF2EDB">
        <w:t> »</w:t>
      </w:r>
      <w:r>
        <w:t>, celle « d’invisibilité » du handicap fera l’objet d’un séminaire à l’INSHEA en janvier 2016. On peut dire qu’</w:t>
      </w:r>
      <w:r w:rsidRPr="00F12458">
        <w:rPr>
          <w:i/>
        </w:rPr>
        <w:t>a priori</w:t>
      </w:r>
      <w:r>
        <w:t xml:space="preserve"> cette notion regroupe</w:t>
      </w:r>
      <w:r w:rsidR="00A14938">
        <w:t>,</w:t>
      </w:r>
      <w:r>
        <w:t xml:space="preserve"> pour les acteurs des SAEH</w:t>
      </w:r>
      <w:r w:rsidR="00A14938">
        <w:t>,</w:t>
      </w:r>
      <w:r>
        <w:t xml:space="preserve">  un ensemble d’étudiants dont la proportion est en augmentation et classé</w:t>
      </w:r>
      <w:r w:rsidR="00EB7F60">
        <w:t xml:space="preserve">s respectivement dans les catégories « troubles du langage et de la parole » et </w:t>
      </w:r>
      <w:r>
        <w:t xml:space="preserve">« troubles psychiques ». </w:t>
      </w:r>
      <w:r w:rsidR="00DF2EDB">
        <w:t xml:space="preserve"> </w:t>
      </w:r>
      <w:r>
        <w:t>Les contours de ce</w:t>
      </w:r>
      <w:r w:rsidR="00DF2EDB">
        <w:t xml:space="preserve">s notions </w:t>
      </w:r>
      <w:r>
        <w:t xml:space="preserve">sont donc pour l’instant volontairement laissés flous. Il s’agit en effet dans le cadre du programme de recherche de s’interroger sur la </w:t>
      </w:r>
      <w:r w:rsidR="00A14938">
        <w:t>genèse</w:t>
      </w:r>
      <w:r>
        <w:t xml:space="preserve"> de ces catégories.</w:t>
      </w:r>
    </w:p>
  </w:footnote>
  <w:footnote w:id="2">
    <w:p w:rsidR="003F2740" w:rsidRDefault="003F2740">
      <w:pPr>
        <w:pStyle w:val="Notedebasdepage"/>
      </w:pPr>
      <w:r>
        <w:rPr>
          <w:rStyle w:val="Appelnotedebasdep"/>
        </w:rPr>
        <w:footnoteRef/>
      </w:r>
      <w:r>
        <w:t xml:space="preserve"> En France, c’est la loi de 2005</w:t>
      </w:r>
      <w:r w:rsidRPr="003F2740">
        <w:t xml:space="preserve"> </w:t>
      </w:r>
      <w:r w:rsidRPr="0023270F">
        <w:t>pour l’égalité des droits et des chances, la participation et la citoyenneté des personnes handicapées</w:t>
      </w:r>
      <w:r>
        <w:t xml:space="preserve">  qui a </w:t>
      </w:r>
      <w:r w:rsidRPr="00C17102">
        <w:t>participé à accélérer le développement de services d’accompagnement des étudiants handicapés (SAEH) dans les universités. Cela se traduit par l’augmentation constante du nombre d’individus bénéficiaires</w:t>
      </w:r>
      <w:r>
        <w:t xml:space="preserve">. On en compte aujourd’hui environ 15000 contre moins de 5000 avant 2005 (source : données ministérielles, </w:t>
      </w:r>
      <w:proofErr w:type="spellStart"/>
      <w:r>
        <w:t>Handi</w:t>
      </w:r>
      <w:proofErr w:type="spellEnd"/>
      <w:r>
        <w:t>-U)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EB8"/>
    <w:multiLevelType w:val="hybridMultilevel"/>
    <w:tmpl w:val="327AD536"/>
    <w:lvl w:ilvl="0" w:tplc="F1D4F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D2C02"/>
    <w:multiLevelType w:val="hybridMultilevel"/>
    <w:tmpl w:val="327AD536"/>
    <w:lvl w:ilvl="0" w:tplc="F1D4F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267A5"/>
    <w:multiLevelType w:val="hybridMultilevel"/>
    <w:tmpl w:val="F44A5AB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935EC"/>
    <w:multiLevelType w:val="hybridMultilevel"/>
    <w:tmpl w:val="A7D89DC8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CA1292"/>
    <w:multiLevelType w:val="hybridMultilevel"/>
    <w:tmpl w:val="97CC0F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34B97"/>
    <w:multiLevelType w:val="hybridMultilevel"/>
    <w:tmpl w:val="26223E2E"/>
    <w:lvl w:ilvl="0" w:tplc="CB36511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B511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E59649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F27521D"/>
    <w:multiLevelType w:val="hybridMultilevel"/>
    <w:tmpl w:val="A49EB8A0"/>
    <w:lvl w:ilvl="0" w:tplc="C56415D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40415"/>
    <w:multiLevelType w:val="hybridMultilevel"/>
    <w:tmpl w:val="4622DF2A"/>
    <w:lvl w:ilvl="0" w:tplc="3FC607B6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73BF2722"/>
    <w:multiLevelType w:val="hybridMultilevel"/>
    <w:tmpl w:val="EEE6B3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63537"/>
    <w:multiLevelType w:val="hybridMultilevel"/>
    <w:tmpl w:val="327AD536"/>
    <w:lvl w:ilvl="0" w:tplc="F1D4F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1"/>
  </w:num>
  <w:num w:numId="5">
    <w:abstractNumId w:val="10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72"/>
    <w:rsid w:val="00034DA7"/>
    <w:rsid w:val="00065F46"/>
    <w:rsid w:val="00077223"/>
    <w:rsid w:val="000E26A7"/>
    <w:rsid w:val="001B2637"/>
    <w:rsid w:val="00200967"/>
    <w:rsid w:val="002142CC"/>
    <w:rsid w:val="0028599F"/>
    <w:rsid w:val="0029549A"/>
    <w:rsid w:val="002B35D8"/>
    <w:rsid w:val="002D1753"/>
    <w:rsid w:val="002E1326"/>
    <w:rsid w:val="002F3EE1"/>
    <w:rsid w:val="002F5D36"/>
    <w:rsid w:val="00337301"/>
    <w:rsid w:val="00350FC1"/>
    <w:rsid w:val="003C01B5"/>
    <w:rsid w:val="003F2740"/>
    <w:rsid w:val="004165E1"/>
    <w:rsid w:val="00424915"/>
    <w:rsid w:val="00473F89"/>
    <w:rsid w:val="00476846"/>
    <w:rsid w:val="004878FE"/>
    <w:rsid w:val="004A2511"/>
    <w:rsid w:val="004C4FD4"/>
    <w:rsid w:val="004D48CF"/>
    <w:rsid w:val="004F1506"/>
    <w:rsid w:val="0061268F"/>
    <w:rsid w:val="006A12A3"/>
    <w:rsid w:val="006F5C85"/>
    <w:rsid w:val="006F7FDC"/>
    <w:rsid w:val="007002A1"/>
    <w:rsid w:val="00703E6A"/>
    <w:rsid w:val="00711633"/>
    <w:rsid w:val="00725172"/>
    <w:rsid w:val="007254EE"/>
    <w:rsid w:val="00763DCB"/>
    <w:rsid w:val="007B1A25"/>
    <w:rsid w:val="007D12D9"/>
    <w:rsid w:val="007F07C6"/>
    <w:rsid w:val="007F4FE7"/>
    <w:rsid w:val="00802169"/>
    <w:rsid w:val="0080757D"/>
    <w:rsid w:val="008666F3"/>
    <w:rsid w:val="008B0EFC"/>
    <w:rsid w:val="0094685B"/>
    <w:rsid w:val="00967488"/>
    <w:rsid w:val="00972BD2"/>
    <w:rsid w:val="009A79DC"/>
    <w:rsid w:val="009E551B"/>
    <w:rsid w:val="00A14938"/>
    <w:rsid w:val="00A37B90"/>
    <w:rsid w:val="00AD1913"/>
    <w:rsid w:val="00B86882"/>
    <w:rsid w:val="00BD0DF8"/>
    <w:rsid w:val="00BF6FA3"/>
    <w:rsid w:val="00C336DD"/>
    <w:rsid w:val="00C41E8B"/>
    <w:rsid w:val="00C90DC6"/>
    <w:rsid w:val="00CA77C7"/>
    <w:rsid w:val="00CD223B"/>
    <w:rsid w:val="00CE41D4"/>
    <w:rsid w:val="00D3258F"/>
    <w:rsid w:val="00D5281D"/>
    <w:rsid w:val="00DF2B7E"/>
    <w:rsid w:val="00DF2EDB"/>
    <w:rsid w:val="00E10078"/>
    <w:rsid w:val="00E24669"/>
    <w:rsid w:val="00EB22C9"/>
    <w:rsid w:val="00EB7F60"/>
    <w:rsid w:val="00EF5206"/>
    <w:rsid w:val="00F12458"/>
    <w:rsid w:val="00F17EB2"/>
    <w:rsid w:val="00FA75AC"/>
    <w:rsid w:val="00FE2338"/>
    <w:rsid w:val="00FF4605"/>
    <w:rsid w:val="00FF6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17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75A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0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DC6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466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466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24669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EB22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B22C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B22C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22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22C9"/>
    <w:rPr>
      <w:b/>
      <w:bCs/>
      <w:sz w:val="20"/>
      <w:szCs w:val="20"/>
    </w:rPr>
  </w:style>
  <w:style w:type="character" w:customStyle="1" w:styleId="uppercase">
    <w:name w:val="uppercase"/>
    <w:basedOn w:val="Policepardfaut"/>
    <w:rsid w:val="00C336DD"/>
  </w:style>
  <w:style w:type="character" w:styleId="Accentuation">
    <w:name w:val="Emphasis"/>
    <w:basedOn w:val="Policepardfaut"/>
    <w:uiPriority w:val="20"/>
    <w:qFormat/>
    <w:rsid w:val="00C336DD"/>
    <w:rPr>
      <w:i/>
      <w:iCs/>
    </w:rPr>
  </w:style>
  <w:style w:type="character" w:styleId="lev">
    <w:name w:val="Strong"/>
    <w:basedOn w:val="Policepardfaut"/>
    <w:uiPriority w:val="22"/>
    <w:qFormat/>
    <w:rsid w:val="007254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17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75A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0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DC6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466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466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24669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EB22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B22C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B22C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22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22C9"/>
    <w:rPr>
      <w:b/>
      <w:bCs/>
      <w:sz w:val="20"/>
      <w:szCs w:val="20"/>
    </w:rPr>
  </w:style>
  <w:style w:type="character" w:customStyle="1" w:styleId="uppercase">
    <w:name w:val="uppercase"/>
    <w:basedOn w:val="Policepardfaut"/>
    <w:rsid w:val="00C336DD"/>
  </w:style>
  <w:style w:type="character" w:styleId="Accentuation">
    <w:name w:val="Emphasis"/>
    <w:basedOn w:val="Policepardfaut"/>
    <w:uiPriority w:val="20"/>
    <w:qFormat/>
    <w:rsid w:val="00C336DD"/>
    <w:rPr>
      <w:i/>
      <w:iCs/>
    </w:rPr>
  </w:style>
  <w:style w:type="character" w:styleId="lev">
    <w:name w:val="Strong"/>
    <w:basedOn w:val="Policepardfaut"/>
    <w:uiPriority w:val="22"/>
    <w:qFormat/>
    <w:rsid w:val="007254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92729-58A9-4D27-9645-36D2E600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EA_Santesih</dc:creator>
  <cp:lastModifiedBy>Nathalie Maison</cp:lastModifiedBy>
  <cp:revision>6</cp:revision>
  <dcterms:created xsi:type="dcterms:W3CDTF">2016-02-05T12:31:00Z</dcterms:created>
  <dcterms:modified xsi:type="dcterms:W3CDTF">2016-01-06T13:45:00Z</dcterms:modified>
</cp:coreProperties>
</file>